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B0A74" w14:textId="77777777" w:rsidR="00E73D4D" w:rsidRPr="00FB27D9" w:rsidRDefault="00E73D4D" w:rsidP="00E73D4D">
      <w:pPr>
        <w:pStyle w:val="ListParagraph"/>
        <w:ind w:left="1440"/>
        <w:rPr>
          <w:rFonts w:ascii="Sylfaen" w:hAnsi="Sylfaen"/>
          <w:b/>
          <w:bCs/>
          <w:sz w:val="28"/>
          <w:szCs w:val="28"/>
          <w:lang w:val="ka-GE"/>
        </w:rPr>
      </w:pPr>
      <w:r w:rsidRPr="00FB27D9">
        <w:rPr>
          <w:rFonts w:ascii="Sylfaen" w:hAnsi="Sylfaen"/>
          <w:b/>
          <w:bCs/>
          <w:sz w:val="28"/>
          <w:szCs w:val="28"/>
          <w:lang w:val="ka-GE"/>
        </w:rPr>
        <w:t>კომენტარები დოკუმენტზე:</w:t>
      </w:r>
    </w:p>
    <w:p w14:paraId="72CCB13F" w14:textId="19080872" w:rsidR="00E73D4D" w:rsidRPr="00E73D4D" w:rsidRDefault="00E73D4D" w:rsidP="00E73D4D">
      <w:pPr>
        <w:pStyle w:val="ListParagraph"/>
        <w:numPr>
          <w:ilvl w:val="0"/>
          <w:numId w:val="2"/>
        </w:numPr>
        <w:rPr>
          <w:rFonts w:ascii="Sylfaen" w:hAnsi="Sylfaen"/>
          <w:lang w:val="ka-GE"/>
        </w:rPr>
      </w:pPr>
      <w:r w:rsidRPr="00E73D4D">
        <w:rPr>
          <w:rFonts w:ascii="Sylfaen" w:hAnsi="Sylfaen"/>
          <w:lang w:val="ka-GE"/>
        </w:rPr>
        <w:t>შუქნიშანის განხილვისას, მნიშვნელოვანი ნიუანსია, რომ ყველა კრიტერიუმი იყოს ჰარმონიზებული ერთმანეთთან. შესაბამისად, წარმოდგენილ დოკუმენტში შერჩეული</w:t>
      </w:r>
      <w:r w:rsidRPr="00E73D4D">
        <w:rPr>
          <w:rFonts w:ascii="Sylfaen" w:hAnsi="Sylfaen"/>
          <w:lang w:val="ka-GE"/>
        </w:rPr>
        <w:t xml:space="preserve"> ინდიკატორ</w:t>
      </w:r>
      <w:r w:rsidRPr="00E73D4D">
        <w:rPr>
          <w:rFonts w:ascii="Sylfaen" w:hAnsi="Sylfaen"/>
          <w:lang w:val="ka-GE"/>
        </w:rPr>
        <w:t>ები</w:t>
      </w:r>
      <w:r w:rsidRPr="00E73D4D">
        <w:rPr>
          <w:rFonts w:ascii="Sylfaen" w:hAnsi="Sylfaen"/>
          <w:lang w:val="ka-GE"/>
        </w:rPr>
        <w:t xml:space="preserve"> უნდა იყ</w:t>
      </w:r>
      <w:r w:rsidRPr="00E73D4D">
        <w:rPr>
          <w:rFonts w:ascii="Sylfaen" w:hAnsi="Sylfaen"/>
          <w:lang w:val="ka-GE"/>
        </w:rPr>
        <w:t>ვნენ ერთმანეთთან შესაბამისობაში, მათ შორის რანჟირებისა და დაყოფის მხრივაც. გამომდინარე აქედან</w:t>
      </w:r>
      <w:r w:rsidRPr="00E73D4D">
        <w:rPr>
          <w:rFonts w:ascii="Sylfaen" w:hAnsi="Sylfaen"/>
          <w:lang w:val="ka-GE"/>
        </w:rPr>
        <w:t xml:space="preserve">, </w:t>
      </w:r>
      <w:r>
        <w:rPr>
          <w:rFonts w:ascii="Sylfaen" w:hAnsi="Sylfaen"/>
          <w:lang w:val="ka-GE"/>
        </w:rPr>
        <w:t xml:space="preserve">მნიშვნელოვანია რომ </w:t>
      </w:r>
      <w:r w:rsidRPr="00E73D4D">
        <w:rPr>
          <w:rFonts w:ascii="Sylfaen" w:hAnsi="Sylfaen"/>
          <w:lang w:val="ka-GE"/>
        </w:rPr>
        <w:t xml:space="preserve">ყველა </w:t>
      </w:r>
      <w:r>
        <w:rPr>
          <w:rFonts w:ascii="Sylfaen" w:hAnsi="Sylfaen"/>
          <w:lang w:val="ka-GE"/>
        </w:rPr>
        <w:t>ასახული ინდიკატორი</w:t>
      </w:r>
      <w:r w:rsidRPr="00E73D4D">
        <w:rPr>
          <w:rFonts w:ascii="Sylfaen" w:hAnsi="Sylfaen"/>
          <w:lang w:val="ka-GE"/>
        </w:rPr>
        <w:t xml:space="preserve"> იყოს ან 3 დონიანი ან 4 დონიანი - მოწოდებულ დოკუმენტში 3-დონიანია ინციდენტობის 7-დღიანი მაჩვენებელი, რაც ასევე სასურველია 4-დონიანი გახდეს;</w:t>
      </w:r>
    </w:p>
    <w:p w14:paraId="31B8A510" w14:textId="56350A48" w:rsidR="00E73D4D" w:rsidRDefault="00E73D4D" w:rsidP="00E73D4D">
      <w:pPr>
        <w:pStyle w:val="ListParagraph"/>
        <w:numPr>
          <w:ilvl w:val="0"/>
          <w:numId w:val="2"/>
        </w:numPr>
        <w:ind w:left="0"/>
        <w:rPr>
          <w:rFonts w:ascii="Sylfaen" w:hAnsi="Sylfaen"/>
          <w:lang w:val="ka-GE"/>
        </w:rPr>
      </w:pPr>
      <w:r>
        <w:rPr>
          <w:rFonts w:ascii="Sylfaen" w:hAnsi="Sylfaen"/>
          <w:lang w:val="ka-GE"/>
        </w:rPr>
        <w:t>მოწოდებულ შუქნიშანში ასახული</w:t>
      </w:r>
      <w:r>
        <w:rPr>
          <w:rFonts w:ascii="Sylfaen" w:hAnsi="Sylfaen"/>
          <w:lang w:val="ka-GE"/>
        </w:rPr>
        <w:t xml:space="preserve"> ინდიკატორებიდან:</w:t>
      </w:r>
    </w:p>
    <w:p w14:paraId="13A1354D" w14:textId="13F0CA80" w:rsidR="00E73D4D" w:rsidRPr="007F566F" w:rsidRDefault="00E73D4D" w:rsidP="00E73D4D">
      <w:pPr>
        <w:pStyle w:val="ListParagraph"/>
        <w:numPr>
          <w:ilvl w:val="0"/>
          <w:numId w:val="4"/>
        </w:numPr>
        <w:ind w:left="720"/>
        <w:rPr>
          <w:rFonts w:ascii="Sylfaen" w:hAnsi="Sylfaen"/>
          <w:lang w:val="ka-GE"/>
        </w:rPr>
      </w:pPr>
      <w:r w:rsidRPr="007F566F">
        <w:rPr>
          <w:rFonts w:ascii="Sylfaen" w:hAnsi="Sylfaen"/>
          <w:lang w:val="ka-GE"/>
        </w:rPr>
        <w:t xml:space="preserve">ტესტირების სამიზნე რაოდენობა შემუშავდა </w:t>
      </w:r>
      <w:r>
        <w:rPr>
          <w:rFonts w:ascii="Sylfaen" w:hAnsi="Sylfaen"/>
          <w:lang w:val="ka-GE"/>
        </w:rPr>
        <w:t xml:space="preserve">2020 წლის </w:t>
      </w:r>
      <w:r w:rsidRPr="007F566F">
        <w:rPr>
          <w:rFonts w:ascii="Sylfaen" w:hAnsi="Sylfaen"/>
          <w:lang w:val="ka-GE"/>
        </w:rPr>
        <w:t xml:space="preserve">აგვისტოში, </w:t>
      </w:r>
      <w:r>
        <w:rPr>
          <w:rFonts w:ascii="Sylfaen" w:hAnsi="Sylfaen"/>
          <w:lang w:val="ka-GE"/>
        </w:rPr>
        <w:t xml:space="preserve">მსოფლიო ბანკის ხელშეწყობით, ექსპერტების ჩართულობით, </w:t>
      </w:r>
      <w:r w:rsidRPr="007F566F">
        <w:rPr>
          <w:rFonts w:ascii="Sylfaen" w:hAnsi="Sylfaen"/>
          <w:lang w:val="ka-GE"/>
        </w:rPr>
        <w:t xml:space="preserve">„ჯანდაცვის სექტორის შესაძლებლობების გაძლიერება და გადაუდებელი მზადყოფნა COVID-19 შემდგომი ტალღებისთვის“ ჯანდაცვის სექტორის სამოქმედო გეგმის შედგენისას. ამ პერიოდში </w:t>
      </w:r>
      <w:r>
        <w:rPr>
          <w:rFonts w:ascii="Sylfaen" w:hAnsi="Sylfaen"/>
          <w:lang w:val="ka-GE"/>
        </w:rPr>
        <w:t xml:space="preserve">ქვეყანაში არსებული </w:t>
      </w:r>
      <w:r w:rsidRPr="007F566F">
        <w:rPr>
          <w:rFonts w:ascii="Sylfaen" w:hAnsi="Sylfaen"/>
          <w:lang w:val="ka-GE"/>
        </w:rPr>
        <w:t xml:space="preserve">მოცემულობა რადიკალურად განსხვავებული იყო. ტესტირების პროგრამაში ჩართული იყო ჯამში 22 ლაბორატორია, ტესტირების დღიური შესაძლებლობით 6 700 ნიმუში. ტესტირება ძირითადად ეფუძნებოდა პჯრ დიაგნოსტიკას და არ იყო ბაზარზე სარწმუნო ანტიგენის ტესტები. </w:t>
      </w:r>
      <w:r>
        <w:rPr>
          <w:rFonts w:ascii="Sylfaen" w:hAnsi="Sylfaen"/>
          <w:lang w:val="ka-GE"/>
        </w:rPr>
        <w:t xml:space="preserve">შესაბამისად, სამიზნე რაოდენობა იყოს 16 000 ტესტირება დღეში, რაც იმ პერიოდიდან მოყოლებული, ეტაპობრივად გახდა მიღწევადი. </w:t>
      </w:r>
      <w:r w:rsidRPr="007F566F">
        <w:rPr>
          <w:rFonts w:ascii="Sylfaen" w:hAnsi="Sylfaen"/>
          <w:lang w:val="ka-GE"/>
        </w:rPr>
        <w:t xml:space="preserve">ახალი თაობის ანტიგენის ტესტების შემოტანის შემდეგ, რომლებიც ასახულია ჯანმო-ს და </w:t>
      </w:r>
      <w:r w:rsidRPr="007F566F">
        <w:rPr>
          <w:rFonts w:ascii="Sylfaen" w:hAnsi="Sylfaen"/>
        </w:rPr>
        <w:t>FDA</w:t>
      </w:r>
      <w:r w:rsidRPr="007F566F">
        <w:rPr>
          <w:rFonts w:ascii="Sylfaen" w:hAnsi="Sylfaen"/>
          <w:lang w:val="ka-GE"/>
        </w:rPr>
        <w:t>-ს მიერ ავტორიზებულ ტესტების სიაში და ლაბორატორიული სიმძლავრეების გაფართოების პარალელურად</w:t>
      </w:r>
      <w:r>
        <w:rPr>
          <w:rFonts w:ascii="Sylfaen" w:hAnsi="Sylfaen"/>
          <w:lang w:val="ka-GE"/>
        </w:rPr>
        <w:t>,</w:t>
      </w:r>
      <w:r w:rsidRPr="007F566F">
        <w:rPr>
          <w:rFonts w:ascii="Sylfaen" w:hAnsi="Sylfaen"/>
          <w:lang w:val="ka-GE"/>
        </w:rPr>
        <w:t xml:space="preserve"> აუცილებელია სამიზნე რაოდენობის გადახედვა და განახლება. დღეს დღიური ტესტირების რაოდენობა 18-20 000 ფარგლებში მერყეობს და საჭიროა შესაბამისი დაკორექტირება სამიზნე რაოდენობ</w:t>
      </w:r>
      <w:r>
        <w:rPr>
          <w:rFonts w:ascii="Sylfaen" w:hAnsi="Sylfaen"/>
          <w:lang w:val="ka-GE"/>
        </w:rPr>
        <w:t>ი</w:t>
      </w:r>
      <w:r w:rsidRPr="007F566F">
        <w:rPr>
          <w:rFonts w:ascii="Sylfaen" w:hAnsi="Sylfaen"/>
          <w:lang w:val="ka-GE"/>
        </w:rPr>
        <w:t>ს.</w:t>
      </w:r>
    </w:p>
    <w:p w14:paraId="2A868053" w14:textId="77777777" w:rsidR="00E73D4D" w:rsidRDefault="00E73D4D" w:rsidP="00E73D4D">
      <w:pPr>
        <w:pStyle w:val="ListParagraph"/>
        <w:numPr>
          <w:ilvl w:val="0"/>
          <w:numId w:val="4"/>
        </w:numPr>
        <w:ind w:left="720"/>
        <w:rPr>
          <w:rFonts w:ascii="Sylfaen" w:hAnsi="Sylfaen"/>
          <w:lang w:val="ka-GE"/>
        </w:rPr>
      </w:pPr>
      <w:r w:rsidRPr="007F566F">
        <w:rPr>
          <w:rFonts w:ascii="Sylfaen" w:hAnsi="Sylfaen"/>
          <w:lang w:val="ka-GE"/>
        </w:rPr>
        <w:t xml:space="preserve">დადებითობის მაჩვენებელის კრიტიკული ზღვარი სასურველია ემთხვეოდეს საერთაშორისოდ აღიარებულს, რათა ჰარმონიზებული იყოს სხვა ქვეყნების მიდგომასთანაც. </w:t>
      </w:r>
    </w:p>
    <w:p w14:paraId="04F5B038" w14:textId="7D33106F" w:rsidR="00E73D4D" w:rsidRPr="007F566F" w:rsidRDefault="00E73D4D" w:rsidP="00E73D4D">
      <w:pPr>
        <w:pStyle w:val="ListParagraph"/>
        <w:rPr>
          <w:rFonts w:ascii="Sylfaen" w:hAnsi="Sylfaen"/>
          <w:lang w:val="ka-GE"/>
        </w:rPr>
      </w:pPr>
      <w:r>
        <w:rPr>
          <w:rFonts w:ascii="Sylfaen" w:hAnsi="Sylfaen"/>
          <w:lang w:val="ka-GE"/>
        </w:rPr>
        <w:t xml:space="preserve">მიღებული </w:t>
      </w:r>
      <w:r w:rsidRPr="007F566F">
        <w:rPr>
          <w:rFonts w:ascii="Sylfaen" w:hAnsi="Sylfaen"/>
          <w:lang w:val="ka-GE"/>
        </w:rPr>
        <w:t>დაყოფა</w:t>
      </w:r>
      <w:r>
        <w:rPr>
          <w:rFonts w:ascii="Sylfaen" w:hAnsi="Sylfaen"/>
          <w:lang w:val="ka-GE"/>
        </w:rPr>
        <w:t>, რაც მუსირებს საერთაშორისო არენაზე,</w:t>
      </w:r>
      <w:r w:rsidRPr="007F566F">
        <w:rPr>
          <w:rFonts w:ascii="Sylfaen" w:hAnsi="Sylfaen"/>
          <w:lang w:val="ka-GE"/>
        </w:rPr>
        <w:t xml:space="preserve"> მოწოდებულია შემდეგნაირად: 4%-ზე ნაკლები; 4%-ზე მეტი და ზოგიერთი წყაროთი - ზედა ზღვარია 10%-ზე მეტი. სხვა გრადაცია </w:t>
      </w:r>
      <w:r>
        <w:rPr>
          <w:rFonts w:ascii="Sylfaen" w:hAnsi="Sylfaen"/>
          <w:lang w:val="ka-GE"/>
        </w:rPr>
        <w:t>საერთაშორისო დოკუმენტებში ასახული არ არის</w:t>
      </w:r>
      <w:r w:rsidRPr="007F566F">
        <w:rPr>
          <w:rFonts w:ascii="Sylfaen" w:hAnsi="Sylfaen"/>
          <w:lang w:val="ka-GE"/>
        </w:rPr>
        <w:t>.</w:t>
      </w:r>
    </w:p>
    <w:p w14:paraId="6076136F" w14:textId="5981226C" w:rsidR="00E73D4D" w:rsidRPr="007F566F" w:rsidRDefault="00E73D4D" w:rsidP="00E73D4D">
      <w:pPr>
        <w:pStyle w:val="ListParagraph"/>
        <w:numPr>
          <w:ilvl w:val="0"/>
          <w:numId w:val="4"/>
        </w:numPr>
        <w:ind w:left="720"/>
        <w:rPr>
          <w:rFonts w:ascii="Sylfaen" w:hAnsi="Sylfaen"/>
          <w:lang w:val="ka-GE"/>
        </w:rPr>
      </w:pPr>
      <w:r w:rsidRPr="007F566F">
        <w:rPr>
          <w:rFonts w:ascii="Sylfaen" w:hAnsi="Sylfaen"/>
        </w:rPr>
        <w:t>Rt</w:t>
      </w:r>
      <w:r w:rsidRPr="007F566F">
        <w:rPr>
          <w:rFonts w:ascii="Sylfaen" w:hAnsi="Sylfaen"/>
          <w:lang w:val="ka-GE"/>
        </w:rPr>
        <w:t xml:space="preserve"> </w:t>
      </w:r>
      <w:r>
        <w:rPr>
          <w:rFonts w:ascii="Sylfaen" w:hAnsi="Sylfaen"/>
          <w:lang w:val="ka-GE"/>
        </w:rPr>
        <w:t>წარმოდგენილ დოკუმენტში</w:t>
      </w:r>
      <w:r w:rsidRPr="007F566F">
        <w:rPr>
          <w:rFonts w:ascii="Sylfaen" w:hAnsi="Sylfaen"/>
          <w:lang w:val="ka-GE"/>
        </w:rPr>
        <w:t xml:space="preserve"> არ არის ეფექტური რეპროდუქციის ინდექსი</w:t>
      </w:r>
      <w:r>
        <w:rPr>
          <w:rFonts w:ascii="Sylfaen" w:hAnsi="Sylfaen"/>
          <w:lang w:val="ka-GE"/>
        </w:rPr>
        <w:t xml:space="preserve"> და ტერმინოლოგიაში მხოლოდ დამთხვევაა</w:t>
      </w:r>
      <w:r w:rsidRPr="007F566F">
        <w:rPr>
          <w:rFonts w:ascii="Sylfaen" w:hAnsi="Sylfaen"/>
          <w:lang w:val="ka-GE"/>
        </w:rPr>
        <w:t xml:space="preserve">. </w:t>
      </w:r>
      <w:r>
        <w:rPr>
          <w:rFonts w:ascii="Sylfaen" w:hAnsi="Sylfaen"/>
          <w:lang w:val="ka-GE"/>
        </w:rPr>
        <w:t>გაზომვისთვის იგი</w:t>
      </w:r>
      <w:r w:rsidRPr="007F566F">
        <w:rPr>
          <w:rFonts w:ascii="Sylfaen" w:hAnsi="Sylfaen"/>
          <w:lang w:val="ka-GE"/>
        </w:rPr>
        <w:t xml:space="preserve"> ითვალისწინებს</w:t>
      </w:r>
      <w:r>
        <w:rPr>
          <w:rFonts w:ascii="Sylfaen" w:hAnsi="Sylfaen"/>
          <w:lang w:val="ka-GE"/>
        </w:rPr>
        <w:t xml:space="preserve"> სხვა ცვლადებს</w:t>
      </w:r>
      <w:r w:rsidRPr="007F566F">
        <w:rPr>
          <w:rFonts w:ascii="Sylfaen" w:hAnsi="Sylfaen"/>
          <w:lang w:val="ka-GE"/>
        </w:rPr>
        <w:t>, რაც არ შედის რეპროდუქციის ინდექსის განსაზღვრაში</w:t>
      </w:r>
      <w:r>
        <w:rPr>
          <w:rFonts w:ascii="Sylfaen" w:hAnsi="Sylfaen"/>
          <w:lang w:val="ka-GE"/>
        </w:rPr>
        <w:t xml:space="preserve"> და არის პროპორცია</w:t>
      </w:r>
      <w:r w:rsidRPr="007F566F">
        <w:rPr>
          <w:rFonts w:ascii="Sylfaen" w:hAnsi="Sylfaen"/>
          <w:lang w:val="ka-GE"/>
        </w:rPr>
        <w:t xml:space="preserve">. </w:t>
      </w:r>
      <w:r>
        <w:rPr>
          <w:rFonts w:ascii="Sylfaen" w:hAnsi="Sylfaen"/>
          <w:lang w:val="ka-GE"/>
        </w:rPr>
        <w:t xml:space="preserve">არ არის სარწმუნოება, თუ რამდენად მგრძნობიარეა ეს პროპორცია და მტკიცებითი მედიცინის პრაქტიკის გამოყენებით - გამოცდილება შუქნიშანში ასახვის. </w:t>
      </w:r>
      <w:r w:rsidR="00AF1425">
        <w:rPr>
          <w:rFonts w:ascii="Sylfaen" w:hAnsi="Sylfaen"/>
          <w:lang w:val="ka-GE"/>
        </w:rPr>
        <w:t>დამატებით</w:t>
      </w:r>
      <w:r w:rsidRPr="007F566F">
        <w:rPr>
          <w:rFonts w:ascii="Sylfaen" w:hAnsi="Sylfaen"/>
          <w:lang w:val="ka-GE"/>
        </w:rPr>
        <w:t>,</w:t>
      </w:r>
      <w:r>
        <w:rPr>
          <w:rFonts w:ascii="Sylfaen" w:hAnsi="Sylfaen"/>
          <w:lang w:val="ka-GE"/>
        </w:rPr>
        <w:t xml:space="preserve"> უშუალოდ </w:t>
      </w:r>
      <w:r w:rsidR="00AF1425">
        <w:rPr>
          <w:rFonts w:ascii="Sylfaen" w:hAnsi="Sylfaen"/>
          <w:lang w:val="ka-GE"/>
        </w:rPr>
        <w:t xml:space="preserve">ეფექტური </w:t>
      </w:r>
      <w:r>
        <w:rPr>
          <w:rFonts w:ascii="Sylfaen" w:hAnsi="Sylfaen"/>
          <w:lang w:val="ka-GE"/>
        </w:rPr>
        <w:t>რეპროდუქციის</w:t>
      </w:r>
      <w:r w:rsidRPr="007F566F">
        <w:rPr>
          <w:rFonts w:ascii="Sylfaen" w:hAnsi="Sylfaen"/>
          <w:lang w:val="ka-GE"/>
        </w:rPr>
        <w:t xml:space="preserve"> ინ</w:t>
      </w:r>
      <w:r w:rsidR="00AF1425">
        <w:rPr>
          <w:rFonts w:ascii="Sylfaen" w:hAnsi="Sylfaen"/>
          <w:lang w:val="ka-GE"/>
        </w:rPr>
        <w:t>დექსი</w:t>
      </w:r>
      <w:r w:rsidRPr="007F566F">
        <w:rPr>
          <w:rFonts w:ascii="Sylfaen" w:hAnsi="Sylfaen"/>
          <w:lang w:val="ka-GE"/>
        </w:rPr>
        <w:t xml:space="preserve"> კარგი მაჩვენებელია მომავალი ტენდენციის შესაფასებლად, თუმცა რადგან რეტროსპექტულ მონაცემებს ეყრდნობა, ნაკლებად მგრძნობიარეა. შესაბამისად, შუქნიშანში შესაძლოა იყოს ამოღებული, მაგრამ გაგრძელდეს ეპიდემიოლოგების მიერ თვალყურის დევნება ტენდეციის შესაფასებლად.</w:t>
      </w:r>
    </w:p>
    <w:p w14:paraId="2CD460EB" w14:textId="1B69BAAC" w:rsidR="00E73D4D" w:rsidRDefault="00E73D4D" w:rsidP="00E73D4D">
      <w:pPr>
        <w:pStyle w:val="ListParagraph"/>
        <w:numPr>
          <w:ilvl w:val="0"/>
          <w:numId w:val="4"/>
        </w:numPr>
        <w:ind w:left="720"/>
        <w:rPr>
          <w:rFonts w:ascii="Sylfaen" w:hAnsi="Sylfaen"/>
          <w:lang w:val="ka-GE"/>
        </w:rPr>
      </w:pPr>
      <w:r w:rsidRPr="007F566F">
        <w:rPr>
          <w:rFonts w:ascii="Sylfaen" w:hAnsi="Sylfaen"/>
          <w:lang w:val="ka-GE"/>
        </w:rPr>
        <w:t xml:space="preserve">ინტენსიური / ჰოსპიტალური საწოლების დაკავების მაჩვენებელი - </w:t>
      </w:r>
      <w:r w:rsidR="00AF1425">
        <w:rPr>
          <w:rFonts w:ascii="Sylfaen" w:hAnsi="Sylfaen"/>
          <w:lang w:val="ka-GE"/>
        </w:rPr>
        <w:t xml:space="preserve">ქვეყნის </w:t>
      </w:r>
      <w:r w:rsidRPr="007F566F">
        <w:rPr>
          <w:rFonts w:ascii="Sylfaen" w:hAnsi="Sylfaen"/>
          <w:lang w:val="ka-GE"/>
        </w:rPr>
        <w:t xml:space="preserve">შემოდგომის </w:t>
      </w:r>
      <w:r w:rsidR="00AF1425">
        <w:rPr>
          <w:rFonts w:ascii="Sylfaen" w:hAnsi="Sylfaen"/>
          <w:lang w:val="ka-GE"/>
        </w:rPr>
        <w:t xml:space="preserve">პერიოდის </w:t>
      </w:r>
      <w:r w:rsidRPr="007F566F">
        <w:rPr>
          <w:rFonts w:ascii="Sylfaen" w:hAnsi="Sylfaen"/>
          <w:lang w:val="ka-GE"/>
        </w:rPr>
        <w:t xml:space="preserve">გამოცდილებამ აჩვენა, რომ ქვეყანაში მათი მიწოდება მიყვება მოთხოვნას და რაოდენობა არ არის სტატიური ციფრი, არამედ დინამიური. შესაბამისად, რთულია შეფარდებისთვის </w:t>
      </w:r>
      <w:r w:rsidR="00AF1425">
        <w:rPr>
          <w:rFonts w:ascii="Sylfaen" w:hAnsi="Sylfaen"/>
          <w:lang w:val="ka-GE"/>
        </w:rPr>
        <w:t>მნიშვნელის</w:t>
      </w:r>
      <w:r w:rsidRPr="007F566F">
        <w:rPr>
          <w:rFonts w:ascii="Sylfaen" w:hAnsi="Sylfaen"/>
          <w:lang w:val="ka-GE"/>
        </w:rPr>
        <w:t xml:space="preserve"> მდგრადი</w:t>
      </w:r>
      <w:r w:rsidR="00AF1425">
        <w:rPr>
          <w:rFonts w:ascii="Sylfaen" w:hAnsi="Sylfaen"/>
          <w:lang w:val="ka-GE"/>
        </w:rPr>
        <w:t xml:space="preserve">, სტაბილური </w:t>
      </w:r>
      <w:r w:rsidRPr="007F566F">
        <w:rPr>
          <w:rFonts w:ascii="Sylfaen" w:hAnsi="Sylfaen"/>
          <w:lang w:val="ka-GE"/>
        </w:rPr>
        <w:t>ციფრის შენარჩუნება და ინდიკატორი არის ნაკლებად ზუსტი და მგრძნობიარე. უმჯობესია შუქნიშნიდან ასევე იყოს ამოღებული, მაგრამ იზომებოდეს ჯანდაცვის სექტორის დატვირთვის შესაფასებლად</w:t>
      </w:r>
      <w:r w:rsidR="00AF1425">
        <w:rPr>
          <w:rFonts w:ascii="Sylfaen" w:hAnsi="Sylfaen"/>
          <w:lang w:val="ka-GE"/>
        </w:rPr>
        <w:t xml:space="preserve"> და მოდელირების სხვადასხვა სცენარების გათვლისას</w:t>
      </w:r>
      <w:r w:rsidRPr="007F566F">
        <w:rPr>
          <w:rFonts w:ascii="Sylfaen" w:hAnsi="Sylfaen"/>
          <w:lang w:val="ka-GE"/>
        </w:rPr>
        <w:t>, მისი რესურსების გაზრდა-შენარჩუნება-შემც</w:t>
      </w:r>
      <w:r>
        <w:rPr>
          <w:rFonts w:ascii="Sylfaen" w:hAnsi="Sylfaen"/>
          <w:lang w:val="ka-GE"/>
        </w:rPr>
        <w:t>ი</w:t>
      </w:r>
      <w:r w:rsidRPr="007F566F">
        <w:rPr>
          <w:rFonts w:ascii="Sylfaen" w:hAnsi="Sylfaen"/>
          <w:lang w:val="ka-GE"/>
        </w:rPr>
        <w:t>რების მენეჯმენტის</w:t>
      </w:r>
      <w:r>
        <w:rPr>
          <w:rFonts w:ascii="Sylfaen" w:hAnsi="Sylfaen"/>
          <w:lang w:val="ka-GE"/>
        </w:rPr>
        <w:t>ა და სტრატეგიული დაგეგმარებისთვის</w:t>
      </w:r>
      <w:r w:rsidRPr="007F566F">
        <w:rPr>
          <w:rFonts w:ascii="Sylfaen" w:hAnsi="Sylfaen"/>
          <w:lang w:val="ka-GE"/>
        </w:rPr>
        <w:t>.</w:t>
      </w:r>
    </w:p>
    <w:p w14:paraId="6A96D7CF" w14:textId="1B08E558" w:rsidR="00E73D4D" w:rsidRDefault="00E73D4D" w:rsidP="00E73D4D">
      <w:pPr>
        <w:pStyle w:val="ListParagraph"/>
        <w:numPr>
          <w:ilvl w:val="0"/>
          <w:numId w:val="2"/>
        </w:numPr>
        <w:ind w:left="0"/>
        <w:rPr>
          <w:rFonts w:ascii="Sylfaen" w:hAnsi="Sylfaen"/>
          <w:lang w:val="ka-GE"/>
        </w:rPr>
      </w:pPr>
      <w:r>
        <w:rPr>
          <w:rFonts w:ascii="Sylfaen" w:hAnsi="Sylfaen"/>
          <w:lang w:val="ka-GE"/>
        </w:rPr>
        <w:t xml:space="preserve">წარმოდგენილი ინდოკატორებიდან, შუქნიშანში ასასახად სასურველია დარჩეს შემდეგი, რომელიც ახლოს არის ევროკავშირის დირექტივასთან, ითვალისწინებს მის მიერ შემუშავებულ რეკომენდაციებს და პრინციპულად არ ეწინააღმდეგება. დამატებით, ეს მიდგომა კიდევ ერთი ნაბიჯია ევროკავშირთან ასოცირებისკენ. ასევე, მნიშვნელოვანია, რომ </w:t>
      </w:r>
      <w:r w:rsidRPr="007F6902">
        <w:rPr>
          <w:rFonts w:ascii="Sylfaen" w:hAnsi="Sylfaen"/>
          <w:lang w:val="ka-GE"/>
        </w:rPr>
        <w:t>ამგვარი მიდგომა შესაძლებელს გახდის არა მარტო ადგილობრივი გადაწყვეტილებების მიღებას, არამედ ქვეყნის მონაცემების იოლად შედარებას სხვა ქვეყნების მონაცემებთან</w:t>
      </w:r>
      <w:r>
        <w:rPr>
          <w:rFonts w:ascii="Sylfaen" w:hAnsi="Sylfaen"/>
          <w:lang w:val="ka-GE"/>
        </w:rPr>
        <w:t>:</w:t>
      </w:r>
    </w:p>
    <w:p w14:paraId="74789556" w14:textId="46B45FDB" w:rsidR="00E73D4D" w:rsidRDefault="00E73D4D" w:rsidP="00E73D4D">
      <w:pPr>
        <w:pStyle w:val="ListParagraph"/>
        <w:numPr>
          <w:ilvl w:val="0"/>
          <w:numId w:val="3"/>
        </w:numPr>
        <w:ind w:left="1080"/>
        <w:rPr>
          <w:rFonts w:ascii="Sylfaen" w:hAnsi="Sylfaen"/>
          <w:lang w:val="ka-GE"/>
        </w:rPr>
      </w:pPr>
      <w:r>
        <w:rPr>
          <w:rFonts w:ascii="Sylfaen" w:hAnsi="Sylfaen"/>
          <w:lang w:val="ka-GE"/>
        </w:rPr>
        <w:lastRenderedPageBreak/>
        <w:t xml:space="preserve">ტესტირების დადებითობის 7 დღიანი მაჩვენებელი, </w:t>
      </w:r>
      <w:r w:rsidR="00AF1425">
        <w:rPr>
          <w:rFonts w:ascii="Sylfaen" w:hAnsi="Sylfaen"/>
          <w:lang w:val="ka-GE"/>
        </w:rPr>
        <w:t xml:space="preserve">მთლიან შუქნიშანში </w:t>
      </w:r>
      <w:r>
        <w:rPr>
          <w:rFonts w:ascii="Sylfaen" w:hAnsi="Sylfaen"/>
          <w:lang w:val="ka-GE"/>
        </w:rPr>
        <w:t>შეწონილი წილი</w:t>
      </w:r>
      <w:r w:rsidR="00AF1425">
        <w:rPr>
          <w:rFonts w:ascii="Sylfaen" w:hAnsi="Sylfaen"/>
          <w:lang w:val="ka-GE"/>
        </w:rPr>
        <w:t>თ</w:t>
      </w:r>
      <w:r>
        <w:rPr>
          <w:rFonts w:ascii="Sylfaen" w:hAnsi="Sylfaen"/>
          <w:lang w:val="ka-GE"/>
        </w:rPr>
        <w:t xml:space="preserve"> 40%</w:t>
      </w:r>
    </w:p>
    <w:p w14:paraId="6B5EC3C4" w14:textId="528284F9" w:rsidR="00E73D4D" w:rsidRDefault="00E73D4D" w:rsidP="00E73D4D">
      <w:pPr>
        <w:pStyle w:val="ListParagraph"/>
        <w:numPr>
          <w:ilvl w:val="0"/>
          <w:numId w:val="3"/>
        </w:numPr>
        <w:ind w:left="1080"/>
        <w:rPr>
          <w:rFonts w:ascii="Sylfaen" w:hAnsi="Sylfaen"/>
          <w:lang w:val="ka-GE"/>
        </w:rPr>
      </w:pPr>
      <w:r>
        <w:rPr>
          <w:rFonts w:ascii="Sylfaen" w:hAnsi="Sylfaen"/>
          <w:lang w:val="ka-GE"/>
        </w:rPr>
        <w:t xml:space="preserve">ინციდენტობის 14 დღიანი კუმულაციური მაჩვენებელი 100 000 მოსახლეზე, </w:t>
      </w:r>
      <w:r w:rsidR="00AF1425">
        <w:rPr>
          <w:rFonts w:ascii="Sylfaen" w:hAnsi="Sylfaen"/>
          <w:lang w:val="ka-GE"/>
        </w:rPr>
        <w:t xml:space="preserve">მთლიან შუქნიშანში </w:t>
      </w:r>
      <w:r>
        <w:rPr>
          <w:rFonts w:ascii="Sylfaen" w:hAnsi="Sylfaen"/>
          <w:lang w:val="ka-GE"/>
        </w:rPr>
        <w:t>შეწონილი წილი</w:t>
      </w:r>
      <w:r w:rsidR="00AF1425">
        <w:rPr>
          <w:rFonts w:ascii="Sylfaen" w:hAnsi="Sylfaen"/>
          <w:lang w:val="ka-GE"/>
        </w:rPr>
        <w:t>თ</w:t>
      </w:r>
      <w:r>
        <w:rPr>
          <w:rFonts w:ascii="Sylfaen" w:hAnsi="Sylfaen"/>
          <w:lang w:val="ka-GE"/>
        </w:rPr>
        <w:t xml:space="preserve"> 40%</w:t>
      </w:r>
    </w:p>
    <w:p w14:paraId="03666C0D" w14:textId="1DEF5642" w:rsidR="00E73D4D" w:rsidRDefault="00E73D4D" w:rsidP="00E73D4D">
      <w:pPr>
        <w:pStyle w:val="ListParagraph"/>
        <w:numPr>
          <w:ilvl w:val="0"/>
          <w:numId w:val="3"/>
        </w:numPr>
        <w:ind w:left="1080"/>
        <w:rPr>
          <w:rFonts w:ascii="Sylfaen" w:hAnsi="Sylfaen"/>
          <w:lang w:val="ka-GE"/>
        </w:rPr>
      </w:pPr>
      <w:r>
        <w:rPr>
          <w:rFonts w:ascii="Sylfaen" w:hAnsi="Sylfaen"/>
          <w:lang w:val="ka-GE"/>
        </w:rPr>
        <w:t xml:space="preserve">ტესტირების სიხშირე ბოლო 7 დღის მანძილზე, გადათვლილი 100 000 მოსახლეზე, </w:t>
      </w:r>
      <w:r w:rsidR="00AF1425">
        <w:rPr>
          <w:rFonts w:ascii="Sylfaen" w:hAnsi="Sylfaen"/>
          <w:lang w:val="ka-GE"/>
        </w:rPr>
        <w:t xml:space="preserve">მთლიან შუქნიშანში </w:t>
      </w:r>
      <w:r>
        <w:rPr>
          <w:rFonts w:ascii="Sylfaen" w:hAnsi="Sylfaen"/>
          <w:lang w:val="ka-GE"/>
        </w:rPr>
        <w:t>შეწონილი წილი</w:t>
      </w:r>
      <w:r w:rsidR="00AF1425">
        <w:rPr>
          <w:rFonts w:ascii="Sylfaen" w:hAnsi="Sylfaen"/>
          <w:lang w:val="ka-GE"/>
        </w:rPr>
        <w:t>თ</w:t>
      </w:r>
      <w:r>
        <w:rPr>
          <w:rFonts w:ascii="Sylfaen" w:hAnsi="Sylfaen"/>
          <w:lang w:val="ka-GE"/>
        </w:rPr>
        <w:t xml:space="preserve"> 30%</w:t>
      </w:r>
    </w:p>
    <w:p w14:paraId="0B4BF41C" w14:textId="77777777" w:rsidR="00E73D4D" w:rsidRPr="007F566F" w:rsidRDefault="00E73D4D" w:rsidP="00E73D4D">
      <w:pPr>
        <w:pStyle w:val="ListParagraph"/>
        <w:rPr>
          <w:rFonts w:ascii="Sylfaen" w:hAnsi="Sylfaen"/>
          <w:lang w:val="ka-GE"/>
        </w:rPr>
      </w:pPr>
    </w:p>
    <w:p w14:paraId="7BE09149" w14:textId="77777777" w:rsidR="00E73D4D" w:rsidRPr="0037352D" w:rsidRDefault="00E73D4D" w:rsidP="00E73D4D">
      <w:pPr>
        <w:pStyle w:val="ListParagraph"/>
        <w:ind w:left="1080"/>
        <w:rPr>
          <w:rFonts w:ascii="Sylfaen" w:hAnsi="Sylfaen"/>
          <w:u w:val="single"/>
          <w:lang w:val="ka-GE"/>
        </w:rPr>
      </w:pPr>
      <w:r w:rsidRPr="0037352D">
        <w:rPr>
          <w:rFonts w:ascii="Sylfaen" w:hAnsi="Sylfaen"/>
          <w:u w:val="single"/>
          <w:lang w:val="ka-GE"/>
        </w:rPr>
        <w:t>გრადაცია:</w:t>
      </w:r>
    </w:p>
    <w:p w14:paraId="7132A9C8" w14:textId="77777777" w:rsidR="00E73D4D" w:rsidRPr="007360CE" w:rsidRDefault="00E73D4D" w:rsidP="00E73D4D">
      <w:pPr>
        <w:pStyle w:val="ListParagraph"/>
        <w:numPr>
          <w:ilvl w:val="1"/>
          <w:numId w:val="1"/>
        </w:numPr>
        <w:ind w:left="1080"/>
        <w:rPr>
          <w:rFonts w:ascii="Sylfaen" w:hAnsi="Sylfaen"/>
          <w:lang w:val="ka-GE"/>
        </w:rPr>
      </w:pPr>
      <w:r w:rsidRPr="007360CE">
        <w:rPr>
          <w:rFonts w:ascii="Sylfaen" w:hAnsi="Sylfaen"/>
          <w:lang w:val="ka-GE"/>
        </w:rPr>
        <w:t>მწვანე</w:t>
      </w:r>
      <w:r>
        <w:rPr>
          <w:rFonts w:ascii="Sylfaen" w:hAnsi="Sylfaen"/>
          <w:lang w:val="ka-GE"/>
        </w:rPr>
        <w:t xml:space="preserve"> - ტესტირების დაადებითობა 4%-მდე, კუმულაციური ინციდენტობა 25/100 000</w:t>
      </w:r>
    </w:p>
    <w:p w14:paraId="3FA85F0F" w14:textId="77777777" w:rsidR="00E73D4D" w:rsidRPr="007360CE" w:rsidRDefault="00E73D4D" w:rsidP="00E73D4D">
      <w:pPr>
        <w:pStyle w:val="ListParagraph"/>
        <w:numPr>
          <w:ilvl w:val="1"/>
          <w:numId w:val="1"/>
        </w:numPr>
        <w:ind w:left="1080"/>
        <w:rPr>
          <w:rFonts w:ascii="Sylfaen" w:hAnsi="Sylfaen"/>
          <w:lang w:val="ka-GE"/>
        </w:rPr>
      </w:pPr>
      <w:r w:rsidRPr="007360CE">
        <w:rPr>
          <w:rFonts w:ascii="Sylfaen" w:hAnsi="Sylfaen"/>
          <w:lang w:val="ka-GE"/>
        </w:rPr>
        <w:t xml:space="preserve">ყვითელი </w:t>
      </w:r>
      <w:r>
        <w:rPr>
          <w:rFonts w:ascii="Sylfaen" w:hAnsi="Sylfaen"/>
          <w:lang w:val="ka-GE"/>
        </w:rPr>
        <w:t>- 4%-მდე და კუმულაციური ინციდენტობა 25-150/100 000</w:t>
      </w:r>
    </w:p>
    <w:p w14:paraId="3953909A" w14:textId="77777777" w:rsidR="00E73D4D" w:rsidRDefault="00E73D4D" w:rsidP="00E73D4D">
      <w:pPr>
        <w:pStyle w:val="ListParagraph"/>
        <w:ind w:left="1080"/>
        <w:rPr>
          <w:rFonts w:ascii="Sylfaen" w:hAnsi="Sylfaen"/>
          <w:lang w:val="ka-GE"/>
        </w:rPr>
      </w:pPr>
      <w:r>
        <w:rPr>
          <w:rFonts w:ascii="Sylfaen" w:hAnsi="Sylfaen"/>
          <w:lang w:val="ka-GE"/>
        </w:rPr>
        <w:t xml:space="preserve">  </w:t>
      </w:r>
      <w:r>
        <w:rPr>
          <w:rFonts w:ascii="Sylfaen" w:hAnsi="Sylfaen"/>
          <w:lang w:val="ka-GE"/>
        </w:rPr>
        <w:tab/>
      </w:r>
      <w:r>
        <w:rPr>
          <w:rFonts w:ascii="Sylfaen" w:hAnsi="Sylfaen"/>
          <w:lang w:val="ka-GE"/>
        </w:rPr>
        <w:tab/>
        <w:t>ან</w:t>
      </w:r>
    </w:p>
    <w:p w14:paraId="55DF28BA" w14:textId="77777777" w:rsidR="00E73D4D" w:rsidRPr="007360CE" w:rsidRDefault="00E73D4D" w:rsidP="00E73D4D">
      <w:pPr>
        <w:pStyle w:val="ListParagraph"/>
        <w:ind w:left="2240"/>
        <w:rPr>
          <w:rFonts w:ascii="Sylfaen" w:hAnsi="Sylfaen"/>
          <w:lang w:val="ka-GE"/>
        </w:rPr>
      </w:pPr>
      <w:r>
        <w:rPr>
          <w:rFonts w:ascii="Sylfaen" w:hAnsi="Sylfaen"/>
          <w:lang w:val="ka-GE"/>
        </w:rPr>
        <w:t>4%-ზე მეტი და კუმულაციური ინციდენტობა არ აღემატება   50/100 000</w:t>
      </w:r>
    </w:p>
    <w:p w14:paraId="6D2A5E08" w14:textId="77777777" w:rsidR="00E73D4D" w:rsidRPr="007360CE" w:rsidRDefault="00E73D4D" w:rsidP="00E73D4D">
      <w:pPr>
        <w:pStyle w:val="ListParagraph"/>
        <w:numPr>
          <w:ilvl w:val="1"/>
          <w:numId w:val="1"/>
        </w:numPr>
        <w:ind w:left="1080"/>
        <w:rPr>
          <w:rFonts w:ascii="Sylfaen" w:hAnsi="Sylfaen"/>
          <w:lang w:val="ka-GE"/>
        </w:rPr>
      </w:pPr>
      <w:r w:rsidRPr="007360CE">
        <w:rPr>
          <w:rFonts w:ascii="Sylfaen" w:hAnsi="Sylfaen"/>
          <w:lang w:val="ka-GE"/>
        </w:rPr>
        <w:t xml:space="preserve">ნარინჯისფერი </w:t>
      </w:r>
      <w:r>
        <w:rPr>
          <w:rFonts w:ascii="Sylfaen" w:hAnsi="Sylfaen"/>
          <w:lang w:val="ka-GE"/>
        </w:rPr>
        <w:t xml:space="preserve"> 4%-მდე და კუმულაციური ინციდენტობა 150-500/100 000</w:t>
      </w:r>
    </w:p>
    <w:p w14:paraId="0D66396B" w14:textId="77777777" w:rsidR="00E73D4D" w:rsidRDefault="00E73D4D" w:rsidP="00E73D4D">
      <w:pPr>
        <w:pStyle w:val="ListParagraph"/>
        <w:ind w:left="1080"/>
        <w:rPr>
          <w:rFonts w:ascii="Sylfaen" w:hAnsi="Sylfaen"/>
          <w:lang w:val="ka-GE"/>
        </w:rPr>
      </w:pPr>
      <w:r>
        <w:rPr>
          <w:rFonts w:ascii="Sylfaen" w:hAnsi="Sylfaen"/>
          <w:lang w:val="ka-GE"/>
        </w:rPr>
        <w:t xml:space="preserve">  </w:t>
      </w:r>
      <w:r>
        <w:rPr>
          <w:rFonts w:ascii="Sylfaen" w:hAnsi="Sylfaen"/>
          <w:lang w:val="ka-GE"/>
        </w:rPr>
        <w:tab/>
      </w:r>
      <w:r>
        <w:rPr>
          <w:rFonts w:ascii="Sylfaen" w:hAnsi="Sylfaen"/>
          <w:lang w:val="ka-GE"/>
        </w:rPr>
        <w:tab/>
        <w:t>ან</w:t>
      </w:r>
    </w:p>
    <w:p w14:paraId="25B56F8D" w14:textId="77777777" w:rsidR="00E73D4D" w:rsidRDefault="00E73D4D" w:rsidP="00E73D4D">
      <w:pPr>
        <w:pStyle w:val="ListParagraph"/>
        <w:ind w:left="2240"/>
        <w:rPr>
          <w:rFonts w:ascii="Sylfaen" w:hAnsi="Sylfaen"/>
          <w:lang w:val="ka-GE"/>
        </w:rPr>
      </w:pPr>
      <w:r>
        <w:rPr>
          <w:rFonts w:ascii="Sylfaen" w:hAnsi="Sylfaen"/>
          <w:lang w:val="ka-GE"/>
        </w:rPr>
        <w:t>4%-ზე მეტი და კუმულაციური ინციდენტობა  50-500/100 000 ფარგლებში</w:t>
      </w:r>
    </w:p>
    <w:p w14:paraId="3C85381C" w14:textId="77777777" w:rsidR="00E73D4D" w:rsidRPr="007360CE" w:rsidRDefault="00E73D4D" w:rsidP="00E73D4D">
      <w:pPr>
        <w:pStyle w:val="ListParagraph"/>
        <w:ind w:left="2240"/>
        <w:rPr>
          <w:rFonts w:ascii="Sylfaen" w:hAnsi="Sylfaen"/>
          <w:lang w:val="ka-GE"/>
        </w:rPr>
      </w:pPr>
      <w:r>
        <w:rPr>
          <w:rFonts w:ascii="Sylfaen" w:hAnsi="Sylfaen"/>
          <w:lang w:val="ka-GE"/>
        </w:rPr>
        <w:t>ტესტირების მაჩვენებელი არ უნდა იყოს ნაკლები 300 / 100 000 მოსახლეზე</w:t>
      </w:r>
    </w:p>
    <w:p w14:paraId="5DC65360" w14:textId="77777777" w:rsidR="00E73D4D" w:rsidRPr="00FB27D9" w:rsidRDefault="00E73D4D" w:rsidP="00E73D4D">
      <w:pPr>
        <w:pStyle w:val="ListParagraph"/>
        <w:numPr>
          <w:ilvl w:val="1"/>
          <w:numId w:val="1"/>
        </w:numPr>
        <w:ind w:left="1080"/>
        <w:rPr>
          <w:rFonts w:ascii="Sylfaen" w:hAnsi="Sylfaen"/>
          <w:lang w:val="ka-GE"/>
        </w:rPr>
      </w:pPr>
      <w:r w:rsidRPr="00FB27D9">
        <w:rPr>
          <w:rFonts w:ascii="Sylfaen" w:hAnsi="Sylfaen"/>
          <w:lang w:val="ka-GE"/>
        </w:rPr>
        <w:t xml:space="preserve">წითელი - </w:t>
      </w:r>
      <w:r>
        <w:rPr>
          <w:rFonts w:ascii="Sylfaen" w:hAnsi="Sylfaen"/>
          <w:lang w:val="ka-GE"/>
        </w:rPr>
        <w:t xml:space="preserve">დადებითობა 4%-ზე მეტი და </w:t>
      </w:r>
      <w:r w:rsidRPr="00FB27D9">
        <w:rPr>
          <w:rFonts w:ascii="Sylfaen" w:hAnsi="Sylfaen"/>
          <w:lang w:val="ka-GE"/>
        </w:rPr>
        <w:t xml:space="preserve">კუმულაციური ინციდენტობა  </w:t>
      </w:r>
      <w:r>
        <w:rPr>
          <w:rFonts w:ascii="Sylfaen" w:hAnsi="Sylfaen"/>
          <w:lang w:val="ka-GE"/>
        </w:rPr>
        <w:t xml:space="preserve">                </w:t>
      </w:r>
      <w:r w:rsidRPr="00FB27D9">
        <w:rPr>
          <w:rFonts w:ascii="Sylfaen" w:hAnsi="Sylfaen"/>
          <w:lang w:val="ka-GE"/>
        </w:rPr>
        <w:t>50</w:t>
      </w:r>
      <w:r>
        <w:rPr>
          <w:rFonts w:ascii="Sylfaen" w:hAnsi="Sylfaen"/>
          <w:lang w:val="ka-GE"/>
        </w:rPr>
        <w:t>0</w:t>
      </w:r>
      <w:r w:rsidRPr="00FB27D9">
        <w:rPr>
          <w:rFonts w:ascii="Sylfaen" w:hAnsi="Sylfaen"/>
          <w:lang w:val="ka-GE"/>
        </w:rPr>
        <w:t xml:space="preserve">/100 000 </w:t>
      </w:r>
      <w:r>
        <w:rPr>
          <w:rFonts w:ascii="Sylfaen" w:hAnsi="Sylfaen"/>
          <w:lang w:val="ka-GE"/>
        </w:rPr>
        <w:t>მეტი</w:t>
      </w:r>
    </w:p>
    <w:p w14:paraId="1C797579" w14:textId="77777777" w:rsidR="00E73D4D" w:rsidRPr="00F27811" w:rsidRDefault="00E73D4D" w:rsidP="00E73D4D">
      <w:pPr>
        <w:pStyle w:val="ListParagraph"/>
        <w:ind w:left="1080"/>
        <w:rPr>
          <w:rFonts w:ascii="Sylfaen" w:hAnsi="Sylfaen"/>
          <w:lang w:val="ka-GE"/>
        </w:rPr>
      </w:pPr>
    </w:p>
    <w:p w14:paraId="7A9C7680" w14:textId="47856162" w:rsidR="00E73D4D" w:rsidRDefault="00AF1425" w:rsidP="00E73D4D">
      <w:pPr>
        <w:rPr>
          <w:rFonts w:ascii="Sylfaen" w:hAnsi="Sylfaen"/>
          <w:lang w:val="ka-GE"/>
        </w:rPr>
      </w:pPr>
      <w:r>
        <w:rPr>
          <w:rFonts w:ascii="Sylfaen" w:hAnsi="Sylfaen"/>
          <w:lang w:val="ka-GE"/>
        </w:rPr>
        <w:t xml:space="preserve">მნიშვნელოვანი პირობაა, რომ ქვეყანაში </w:t>
      </w:r>
      <w:r w:rsidR="00E73D4D" w:rsidRPr="00FB27D9">
        <w:rPr>
          <w:rFonts w:ascii="Sylfaen" w:hAnsi="Sylfaen"/>
          <w:lang w:val="ka-GE"/>
        </w:rPr>
        <w:t xml:space="preserve">ტესტირების მაჩვენებელი არ უნდა იყოს ნაკლები </w:t>
      </w:r>
      <w:r w:rsidR="00E73D4D">
        <w:rPr>
          <w:rFonts w:ascii="Sylfaen" w:hAnsi="Sylfaen"/>
          <w:lang w:val="ka-GE"/>
        </w:rPr>
        <w:t>500</w:t>
      </w:r>
      <w:r w:rsidR="00E73D4D" w:rsidRPr="00FB27D9">
        <w:rPr>
          <w:rFonts w:ascii="Sylfaen" w:hAnsi="Sylfaen"/>
          <w:lang w:val="ka-GE"/>
        </w:rPr>
        <w:t xml:space="preserve"> / 100 000 მოსახლეზე</w:t>
      </w:r>
      <w:r>
        <w:rPr>
          <w:rFonts w:ascii="Sylfaen" w:hAnsi="Sylfaen"/>
          <w:lang w:val="ka-GE"/>
        </w:rPr>
        <w:t xml:space="preserve"> და უნდა იყოს უფრო მეტი (დღიური</w:t>
      </w:r>
      <w:r>
        <w:rPr>
          <w:rFonts w:ascii="Sylfaen" w:hAnsi="Sylfaen"/>
        </w:rPr>
        <w:t xml:space="preserve"> </w:t>
      </w:r>
      <w:r>
        <w:rPr>
          <w:rFonts w:ascii="Sylfaen" w:hAnsi="Sylfaen"/>
          <w:lang w:val="ka-GE"/>
        </w:rPr>
        <w:t>მინიმუმ 18 585 ტესტი)</w:t>
      </w:r>
      <w:r w:rsidR="00E73D4D">
        <w:rPr>
          <w:rFonts w:ascii="Sylfaen" w:hAnsi="Sylfaen"/>
          <w:lang w:val="ka-GE"/>
        </w:rPr>
        <w:t>.</w:t>
      </w:r>
    </w:p>
    <w:p w14:paraId="5F7AFAA5" w14:textId="77777777" w:rsidR="00E73D4D" w:rsidRPr="007F6902" w:rsidRDefault="00E73D4D" w:rsidP="00E73D4D">
      <w:pPr>
        <w:rPr>
          <w:rFonts w:ascii="Sylfaen" w:hAnsi="Sylfaen"/>
          <w:u w:val="single"/>
          <w:lang w:val="ka-GE"/>
        </w:rPr>
      </w:pPr>
      <w:r w:rsidRPr="007F6902">
        <w:rPr>
          <w:rFonts w:ascii="Sylfaen" w:hAnsi="Sylfaen"/>
          <w:u w:val="single"/>
          <w:lang w:val="ka-GE"/>
        </w:rPr>
        <w:t>გამოყენებული წყარო:</w:t>
      </w:r>
    </w:p>
    <w:p w14:paraId="0BEE6662" w14:textId="77777777" w:rsidR="00E73D4D" w:rsidRPr="0037352D" w:rsidRDefault="00E73D4D" w:rsidP="00E73D4D">
      <w:pPr>
        <w:pStyle w:val="ListParagraph"/>
        <w:numPr>
          <w:ilvl w:val="0"/>
          <w:numId w:val="5"/>
        </w:numPr>
        <w:ind w:left="0"/>
        <w:rPr>
          <w:rFonts w:ascii="Sylfaen" w:hAnsi="Sylfaen"/>
          <w:lang w:val="ka-GE"/>
        </w:rPr>
      </w:pPr>
      <w:r w:rsidRPr="0037352D">
        <w:rPr>
          <w:rFonts w:ascii="Sylfaen" w:hAnsi="Sylfaen"/>
          <w:lang w:val="ka-GE"/>
        </w:rPr>
        <w:t>A common approach to travel measures in the EU</w:t>
      </w:r>
    </w:p>
    <w:p w14:paraId="53DA7A4B" w14:textId="77777777" w:rsidR="00E73D4D" w:rsidRPr="0037352D" w:rsidRDefault="00E73D4D" w:rsidP="00E73D4D">
      <w:pPr>
        <w:pStyle w:val="ListParagraph"/>
        <w:ind w:left="0"/>
        <w:rPr>
          <w:rFonts w:ascii="Sylfaen" w:hAnsi="Sylfaen"/>
          <w:lang w:val="ka-GE"/>
        </w:rPr>
      </w:pPr>
      <w:hyperlink r:id="rId5" w:history="1">
        <w:r w:rsidRPr="00EA735D">
          <w:rPr>
            <w:rStyle w:val="Hyperlink"/>
            <w:rFonts w:ascii="Sylfaen" w:hAnsi="Sylfaen"/>
            <w:lang w:val="ka-GE"/>
          </w:rPr>
          <w:t>https://ec.europa.eu/info/live-work-travel-eu/coronavirus-response/travel-during-coronavirus-pandemic-0/common-approach-travel-measures-eu_en</w:t>
        </w:r>
      </w:hyperlink>
      <w:r w:rsidRPr="0037352D">
        <w:rPr>
          <w:rFonts w:ascii="Sylfaen" w:hAnsi="Sylfaen"/>
          <w:lang w:val="ka-GE"/>
        </w:rPr>
        <w:t xml:space="preserve"> </w:t>
      </w:r>
    </w:p>
    <w:p w14:paraId="7F926E07" w14:textId="77777777" w:rsidR="00E73D4D" w:rsidRPr="0037352D" w:rsidRDefault="00E73D4D" w:rsidP="00E73D4D">
      <w:pPr>
        <w:pStyle w:val="ListParagraph"/>
        <w:numPr>
          <w:ilvl w:val="0"/>
          <w:numId w:val="5"/>
        </w:numPr>
        <w:ind w:left="0"/>
        <w:rPr>
          <w:rFonts w:ascii="Sylfaen" w:hAnsi="Sylfaen"/>
          <w:lang w:val="ka-GE"/>
        </w:rPr>
      </w:pPr>
      <w:r w:rsidRPr="0037352D">
        <w:rPr>
          <w:rFonts w:ascii="Sylfaen" w:hAnsi="Sylfaen"/>
          <w:lang w:val="ka-GE"/>
        </w:rPr>
        <w:t>Infographic - A common approach on COVID-19 travel measures</w:t>
      </w:r>
    </w:p>
    <w:p w14:paraId="3C004CE5" w14:textId="2F93FA21" w:rsidR="00DB68B6" w:rsidRPr="00E73D4D" w:rsidRDefault="00E73D4D" w:rsidP="00E73D4D">
      <w:pPr>
        <w:rPr>
          <w:lang w:val="ka-GE"/>
        </w:rPr>
      </w:pPr>
      <w:hyperlink r:id="rId6" w:history="1">
        <w:r w:rsidRPr="00EA735D">
          <w:rPr>
            <w:rStyle w:val="Hyperlink"/>
            <w:rFonts w:ascii="Sylfaen" w:hAnsi="Sylfaen"/>
            <w:lang w:val="ka-GE"/>
          </w:rPr>
          <w:t>https://www.consilium.europa.eu/en/infographics/a-common-approach-on-covid-19-measures/</w:t>
        </w:r>
      </w:hyperlink>
    </w:p>
    <w:sectPr w:rsidR="00DB68B6" w:rsidRPr="00E73D4D" w:rsidSect="00AF14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D5306"/>
    <w:multiLevelType w:val="hybridMultilevel"/>
    <w:tmpl w:val="A0D6CAA4"/>
    <w:lvl w:ilvl="0" w:tplc="79EE08A4">
      <w:start w:val="1"/>
      <w:numFmt w:val="decimal"/>
      <w:lvlText w:val="%1."/>
      <w:lvlJc w:val="left"/>
      <w:pPr>
        <w:ind w:left="360" w:hanging="360"/>
      </w:pPr>
      <w:rPr>
        <w:rFonts w:ascii="Sylfaen" w:eastAsiaTheme="minorHAnsi" w:hAnsi="Sylfaen" w:cstheme="minorBidi"/>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1" w15:restartNumberingAfterBreak="0">
    <w:nsid w:val="3CD0356E"/>
    <w:multiLevelType w:val="hybridMultilevel"/>
    <w:tmpl w:val="D08077DA"/>
    <w:lvl w:ilvl="0" w:tplc="04370005">
      <w:start w:val="1"/>
      <w:numFmt w:val="bullet"/>
      <w:lvlText w:val=""/>
      <w:lvlJc w:val="left"/>
      <w:pPr>
        <w:ind w:left="360" w:hanging="360"/>
      </w:pPr>
      <w:rPr>
        <w:rFonts w:ascii="Wingdings" w:hAnsi="Wingdings"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2" w15:restartNumberingAfterBreak="0">
    <w:nsid w:val="4F4A2102"/>
    <w:multiLevelType w:val="hybridMultilevel"/>
    <w:tmpl w:val="25F0C102"/>
    <w:lvl w:ilvl="0" w:tplc="04370005">
      <w:start w:val="1"/>
      <w:numFmt w:val="bullet"/>
      <w:lvlText w:val=""/>
      <w:lvlJc w:val="left"/>
      <w:pPr>
        <w:ind w:left="1800" w:hanging="360"/>
      </w:pPr>
      <w:rPr>
        <w:rFonts w:ascii="Wingdings" w:hAnsi="Wingdings" w:hint="default"/>
      </w:rPr>
    </w:lvl>
    <w:lvl w:ilvl="1" w:tplc="04370003">
      <w:start w:val="1"/>
      <w:numFmt w:val="bullet"/>
      <w:lvlText w:val="o"/>
      <w:lvlJc w:val="left"/>
      <w:pPr>
        <w:ind w:left="2520" w:hanging="360"/>
      </w:pPr>
      <w:rPr>
        <w:rFonts w:ascii="Courier New" w:hAnsi="Courier New" w:cs="Courier New" w:hint="default"/>
      </w:rPr>
    </w:lvl>
    <w:lvl w:ilvl="2" w:tplc="04370005" w:tentative="1">
      <w:start w:val="1"/>
      <w:numFmt w:val="bullet"/>
      <w:lvlText w:val=""/>
      <w:lvlJc w:val="left"/>
      <w:pPr>
        <w:ind w:left="3240" w:hanging="360"/>
      </w:pPr>
      <w:rPr>
        <w:rFonts w:ascii="Wingdings" w:hAnsi="Wingdings" w:hint="default"/>
      </w:rPr>
    </w:lvl>
    <w:lvl w:ilvl="3" w:tplc="04370001" w:tentative="1">
      <w:start w:val="1"/>
      <w:numFmt w:val="bullet"/>
      <w:lvlText w:val=""/>
      <w:lvlJc w:val="left"/>
      <w:pPr>
        <w:ind w:left="3960" w:hanging="360"/>
      </w:pPr>
      <w:rPr>
        <w:rFonts w:ascii="Symbol" w:hAnsi="Symbol" w:hint="default"/>
      </w:rPr>
    </w:lvl>
    <w:lvl w:ilvl="4" w:tplc="04370003" w:tentative="1">
      <w:start w:val="1"/>
      <w:numFmt w:val="bullet"/>
      <w:lvlText w:val="o"/>
      <w:lvlJc w:val="left"/>
      <w:pPr>
        <w:ind w:left="4680" w:hanging="360"/>
      </w:pPr>
      <w:rPr>
        <w:rFonts w:ascii="Courier New" w:hAnsi="Courier New" w:cs="Courier New" w:hint="default"/>
      </w:rPr>
    </w:lvl>
    <w:lvl w:ilvl="5" w:tplc="04370005" w:tentative="1">
      <w:start w:val="1"/>
      <w:numFmt w:val="bullet"/>
      <w:lvlText w:val=""/>
      <w:lvlJc w:val="left"/>
      <w:pPr>
        <w:ind w:left="5400" w:hanging="360"/>
      </w:pPr>
      <w:rPr>
        <w:rFonts w:ascii="Wingdings" w:hAnsi="Wingdings" w:hint="default"/>
      </w:rPr>
    </w:lvl>
    <w:lvl w:ilvl="6" w:tplc="04370001" w:tentative="1">
      <w:start w:val="1"/>
      <w:numFmt w:val="bullet"/>
      <w:lvlText w:val=""/>
      <w:lvlJc w:val="left"/>
      <w:pPr>
        <w:ind w:left="6120" w:hanging="360"/>
      </w:pPr>
      <w:rPr>
        <w:rFonts w:ascii="Symbol" w:hAnsi="Symbol" w:hint="default"/>
      </w:rPr>
    </w:lvl>
    <w:lvl w:ilvl="7" w:tplc="04370003" w:tentative="1">
      <w:start w:val="1"/>
      <w:numFmt w:val="bullet"/>
      <w:lvlText w:val="o"/>
      <w:lvlJc w:val="left"/>
      <w:pPr>
        <w:ind w:left="6840" w:hanging="360"/>
      </w:pPr>
      <w:rPr>
        <w:rFonts w:ascii="Courier New" w:hAnsi="Courier New" w:cs="Courier New" w:hint="default"/>
      </w:rPr>
    </w:lvl>
    <w:lvl w:ilvl="8" w:tplc="04370005" w:tentative="1">
      <w:start w:val="1"/>
      <w:numFmt w:val="bullet"/>
      <w:lvlText w:val=""/>
      <w:lvlJc w:val="left"/>
      <w:pPr>
        <w:ind w:left="7560" w:hanging="360"/>
      </w:pPr>
      <w:rPr>
        <w:rFonts w:ascii="Wingdings" w:hAnsi="Wingdings" w:hint="default"/>
      </w:rPr>
    </w:lvl>
  </w:abstractNum>
  <w:abstractNum w:abstractNumId="3" w15:restartNumberingAfterBreak="0">
    <w:nsid w:val="53192198"/>
    <w:multiLevelType w:val="hybridMultilevel"/>
    <w:tmpl w:val="D55CE330"/>
    <w:lvl w:ilvl="0" w:tplc="04370005">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4" w15:restartNumberingAfterBreak="0">
    <w:nsid w:val="664F4454"/>
    <w:multiLevelType w:val="hybridMultilevel"/>
    <w:tmpl w:val="362230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8B"/>
    <w:rsid w:val="0091038B"/>
    <w:rsid w:val="00AF1425"/>
    <w:rsid w:val="00DB68B6"/>
    <w:rsid w:val="00E73D4D"/>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95FD"/>
  <w15:chartTrackingRefBased/>
  <w15:docId w15:val="{82288F58-5126-49F7-A5DB-1962333A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D4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D4D"/>
    <w:pPr>
      <w:ind w:left="720"/>
      <w:contextualSpacing/>
    </w:pPr>
  </w:style>
  <w:style w:type="character" w:styleId="Hyperlink">
    <w:name w:val="Hyperlink"/>
    <w:basedOn w:val="DefaultParagraphFont"/>
    <w:uiPriority w:val="99"/>
    <w:unhideWhenUsed/>
    <w:rsid w:val="00E73D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ilium.europa.eu/en/infographics/a-common-approach-on-covid-19-measures/" TargetMode="External"/><Relationship Id="rId5" Type="http://schemas.openxmlformats.org/officeDocument/2006/relationships/hyperlink" Target="https://ec.europa.eu/info/live-work-travel-eu/coronavirus-response/travel-during-coronavirus-pandemic-0/common-approach-travel-measures-eu_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Natia Skhvitaridze</cp:lastModifiedBy>
  <cp:revision>2</cp:revision>
  <dcterms:created xsi:type="dcterms:W3CDTF">2021-02-21T09:57:00Z</dcterms:created>
  <dcterms:modified xsi:type="dcterms:W3CDTF">2021-02-21T10:12:00Z</dcterms:modified>
</cp:coreProperties>
</file>